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A8" w:rsidRDefault="0038609D">
      <w:pPr>
        <w:jc w:val="both"/>
      </w:pPr>
      <w:r>
        <w:rPr>
          <w:b/>
          <w:bCs/>
          <w:sz w:val="32"/>
          <w:szCs w:val="32"/>
        </w:rPr>
        <w:t>Judge Win</w:t>
      </w:r>
      <w:r w:rsidR="00935D70">
        <w:rPr>
          <w:b/>
          <w:bCs/>
          <w:sz w:val="32"/>
          <w:szCs w:val="32"/>
        </w:rPr>
        <w:t xml:space="preserve"> Graham</w:t>
      </w:r>
    </w:p>
    <w:p w:rsidR="00F601A8" w:rsidRDefault="00F601A8">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F601A8" w:rsidRDefault="00F601A8">
      <w:pPr>
        <w:jc w:val="both"/>
        <w:rPr>
          <w:sz w:val="28"/>
          <w:szCs w:val="28"/>
        </w:rPr>
      </w:pPr>
      <w:r>
        <w:rPr>
          <w:sz w:val="28"/>
          <w:szCs w:val="28"/>
        </w:rPr>
        <w:t>Young County Courthouse</w:t>
      </w:r>
    </w:p>
    <w:p w:rsidR="00F601A8" w:rsidRDefault="00F601A8">
      <w:pPr>
        <w:jc w:val="both"/>
        <w:rPr>
          <w:sz w:val="28"/>
          <w:szCs w:val="28"/>
        </w:rPr>
      </w:pPr>
      <w:r>
        <w:rPr>
          <w:sz w:val="28"/>
          <w:szCs w:val="28"/>
        </w:rPr>
        <w:t>516 Fourth Street, Room 108</w:t>
      </w:r>
    </w:p>
    <w:p w:rsidR="00F601A8" w:rsidRDefault="00F601A8">
      <w:pPr>
        <w:jc w:val="both"/>
        <w:rPr>
          <w:sz w:val="28"/>
          <w:szCs w:val="28"/>
        </w:rPr>
      </w:pPr>
      <w:r>
        <w:rPr>
          <w:sz w:val="28"/>
          <w:szCs w:val="28"/>
        </w:rPr>
        <w:t>Graham, Texas 76450</w:t>
      </w:r>
    </w:p>
    <w:p w:rsidR="00F601A8" w:rsidRDefault="00F601A8">
      <w:pPr>
        <w:jc w:val="both"/>
        <w:rPr>
          <w:sz w:val="28"/>
          <w:szCs w:val="28"/>
        </w:rPr>
      </w:pPr>
      <w:r>
        <w:rPr>
          <w:sz w:val="28"/>
          <w:szCs w:val="28"/>
        </w:rPr>
        <w:t>Telephone: (940) 549-2030</w:t>
      </w:r>
    </w:p>
    <w:p w:rsidR="00F601A8" w:rsidRDefault="00F601A8">
      <w:pPr>
        <w:jc w:val="both"/>
        <w:rPr>
          <w:sz w:val="28"/>
          <w:szCs w:val="28"/>
        </w:rPr>
      </w:pPr>
      <w:proofErr w:type="spellStart"/>
      <w:r>
        <w:rPr>
          <w:sz w:val="28"/>
          <w:szCs w:val="28"/>
        </w:rPr>
        <w:t>Telecopier</w:t>
      </w:r>
      <w:proofErr w:type="spellEnd"/>
      <w:r>
        <w:rPr>
          <w:sz w:val="28"/>
          <w:szCs w:val="28"/>
        </w:rPr>
        <w:t>: (940) 521-9482</w:t>
      </w:r>
    </w:p>
    <w:p w:rsidR="00F601A8" w:rsidRDefault="00935D70">
      <w:pPr>
        <w:jc w:val="both"/>
        <w:rPr>
          <w:sz w:val="32"/>
          <w:szCs w:val="32"/>
        </w:rPr>
      </w:pPr>
      <w:r>
        <w:rPr>
          <w:noProof/>
        </w:rPr>
        <mc:AlternateContent>
          <mc:Choice Requires="wps">
            <w:drawing>
              <wp:anchor distT="0" distB="0" distL="114300" distR="114300" simplePos="0" relativeHeight="251657728" behindDoc="1" locked="1" layoutInCell="0" allowOverlap="1">
                <wp:simplePos x="0" y="0"/>
                <wp:positionH relativeFrom="margin">
                  <wp:posOffset>-15240</wp:posOffset>
                </wp:positionH>
                <wp:positionV relativeFrom="margin">
                  <wp:posOffset>1631315</wp:posOffset>
                </wp:positionV>
                <wp:extent cx="5943600" cy="30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01A8" w:rsidRDefault="00935D70">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128.45pt;width:468pt;height: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kV5gIAAGg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JWiHESctSPQZkkb4pqFoZNLTdyoGr8fuQRqCqrsXxTeFuEhr8KILKUVfU1ICKN/4uxcXzELBVbTu&#10;P4gSopOtFjZTu0q2JiDkAO2sIM9HQehOowI2J1EwnnqgWwFnYy8IrWAuiQ+XO6n0OypaZIwES4Bu&#10;g5One6UNGBIfXMxbXOSsaazmDb/YAMdhh9qiGW6TGICAaTwNJCvoz8iLVuEqDJxgNF05gZdlziJP&#10;A2ea+7NJNs7SNPN/GRR+ENesLCk3jx6Kyw/+Trx9mQ9lcSwvJRpWmnAGkpKbddpI9ESguHP7swLA&#10;ycnNvYRhUwJcrij5o8BbjiInn4YzJ8iDiRPNvNDx/GgZTb0gCrL8ktI94/T1lFBvhS8IdH7VkEG7&#10;M/BXHD37e8mRxC3TMEYa1iY4PDqR2NTlipdWcE1YM9hnKTE0/pySRT7xZsE4dGazydgJxivPWYZ5&#10;6ixSfzqdrZbpcnWl8spWjnp9Vqw2Z2V4hnf/xgky1O2hRm3jmV4belbv1jsgbhpwLcpnaEEpoEWg&#10;mWBcg1EL+QOjHkZfgtX3LZEUo+Y9hzY2c/JgyIOxPhiEF3A1wRqjwUz1ME+3nWSbGiL7tgW5WECr&#10;V8y24QkFQDcLGGeWxH70mnl5vrZepz+I+W8AAAD//wMAUEsDBBQABgAIAAAAIQBacSXs4AAAAAoB&#10;AAAPAAAAZHJzL2Rvd25yZXYueG1sTI/BToQwEIbvJr5DMybedsuyWhekbMwSEr3p6mVvXToCkbZA&#10;u4Bv73jS48x8+ef7s/1iOjbh6FtnJWzWETC0ldOtrSV8vJerHTAflNWqcxYlfKOHfX59lalUu9m+&#10;4XQMNaMQ61MloQmhTzn3VYNG+bXr0dLt041GBRrHmutRzRRuOh5HkeBGtZY+NKrHQ4PV1/FiJBSj&#10;0KU/PBdlcpqL8PI6TAMfpLy9WZ4egQVcwh8Mv/qkDjk5nd3Fas86Cav4jkgJ8b1IgBGQbLcC2Jk2&#10;YvMAPM/4/wr5DwAAAP//AwBQSwECLQAUAAYACAAAACEAtoM4kv4AAADhAQAAEwAAAAAAAAAAAAAA&#10;AAAAAAAAW0NvbnRlbnRfVHlwZXNdLnhtbFBLAQItABQABgAIAAAAIQA4/SH/1gAAAJQBAAALAAAA&#10;AAAAAAAAAAAAAC8BAABfcmVscy8ucmVsc1BLAQItABQABgAIAAAAIQBvNpkV5gIAAGgGAAAOAAAA&#10;AAAAAAAAAAAAAC4CAABkcnMvZTJvRG9jLnhtbFBLAQItABQABgAIAAAAIQBacSXs4AAAAAoBAAAP&#10;AAAAAAAAAAAAAAAAAEAFAABkcnMvZG93bnJldi54bWxQSwUGAAAAAAQABADzAAAATQYAAAAA&#10;" o:allowincell="f" filled="f" stroked="f" strokeweight="0">
                <v:textbox inset="0,0,0,0">
                  <w:txbxContent>
                    <w:p w:rsidR="00F601A8" w:rsidRDefault="00935D70">
                      <w:r>
                        <w:rPr>
                          <w:noProof/>
                        </w:rPr>
                        <w:drawing>
                          <wp:inline distT="0" distB="0" distL="0" distR="0">
                            <wp:extent cx="5943600" cy="2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8575"/>
                                    </a:xfrm>
                                    <a:prstGeom prst="rect">
                                      <a:avLst/>
                                    </a:prstGeom>
                                    <a:noFill/>
                                    <a:ln>
                                      <a:noFill/>
                                    </a:ln>
                                  </pic:spPr>
                                </pic:pic>
                              </a:graphicData>
                            </a:graphic>
                          </wp:inline>
                        </w:drawing>
                      </w:r>
                    </w:p>
                  </w:txbxContent>
                </v:textbox>
                <w10:wrap anchorx="margin" anchory="margin"/>
                <w10:anchorlock/>
              </v:rect>
            </w:pict>
          </mc:Fallback>
        </mc:AlternateContent>
      </w:r>
    </w:p>
    <w:p w:rsidR="0038609D" w:rsidRDefault="0038609D">
      <w:pPr>
        <w:jc w:val="center"/>
        <w:rPr>
          <w:b/>
          <w:bCs/>
          <w:sz w:val="32"/>
          <w:szCs w:val="32"/>
        </w:rPr>
      </w:pPr>
    </w:p>
    <w:p w:rsidR="00F601A8" w:rsidRDefault="00F601A8">
      <w:pPr>
        <w:jc w:val="center"/>
        <w:rPr>
          <w:b/>
          <w:bCs/>
          <w:sz w:val="32"/>
          <w:szCs w:val="32"/>
        </w:rPr>
      </w:pPr>
      <w:proofErr w:type="spellStart"/>
      <w:r>
        <w:rPr>
          <w:b/>
          <w:bCs/>
          <w:sz w:val="32"/>
          <w:szCs w:val="32"/>
        </w:rPr>
        <w:t>Muniments</w:t>
      </w:r>
      <w:proofErr w:type="spellEnd"/>
      <w:r>
        <w:rPr>
          <w:b/>
          <w:bCs/>
          <w:sz w:val="32"/>
          <w:szCs w:val="32"/>
        </w:rPr>
        <w:t xml:space="preserve"> of Title and Medicaid Benefits</w:t>
      </w:r>
    </w:p>
    <w:p w:rsidR="0038609D" w:rsidRDefault="0038609D">
      <w:pPr>
        <w:jc w:val="center"/>
      </w:pPr>
      <w:bookmarkStart w:id="0" w:name="_GoBack"/>
      <w:bookmarkEnd w:id="0"/>
    </w:p>
    <w:p w:rsidR="00F601A8" w:rsidRDefault="00F601A8">
      <w:pPr>
        <w:ind w:firstLine="4320"/>
        <w:jc w:val="both"/>
      </w:pPr>
    </w:p>
    <w:p w:rsidR="00F601A8" w:rsidRDefault="00F601A8">
      <w:pPr>
        <w:jc w:val="both"/>
        <w:rPr>
          <w:b/>
          <w:bCs/>
        </w:rPr>
      </w:pPr>
      <w:r>
        <w:t xml:space="preserve">Most attorneys are aware that probating a will as a </w:t>
      </w:r>
      <w:proofErr w:type="spellStart"/>
      <w:r>
        <w:t>muniment</w:t>
      </w:r>
      <w:proofErr w:type="spellEnd"/>
      <w:r>
        <w:t xml:space="preserve"> of title is a useful alternative for some clients, provided that the decedent did not owe any debts other than those secured by liens on real estate. However, many attorneys are not aware that if the decedent applied for and received Medicaid benefits </w:t>
      </w:r>
      <w:r>
        <w:rPr>
          <w:b/>
          <w:bCs/>
        </w:rPr>
        <w:t>on or after March 1, 2005</w:t>
      </w:r>
      <w:r>
        <w:t xml:space="preserve">, the State-run Medicaid Estate Recovery Program could affect whether their clients can proceed with a </w:t>
      </w:r>
      <w:proofErr w:type="spellStart"/>
      <w:r>
        <w:t>muniment</w:t>
      </w:r>
      <w:proofErr w:type="spellEnd"/>
      <w:r>
        <w:t xml:space="preserve"> application. </w:t>
      </w:r>
      <w:r>
        <w:rPr>
          <w:b/>
          <w:bCs/>
        </w:rPr>
        <w:t xml:space="preserve">Texas has </w:t>
      </w:r>
      <w:r>
        <w:rPr>
          <w:b/>
          <w:bCs/>
          <w:u w:val="single"/>
        </w:rPr>
        <w:t>not</w:t>
      </w:r>
      <w:r>
        <w:rPr>
          <w:b/>
          <w:bCs/>
        </w:rPr>
        <w:t xml:space="preserve"> adopted a Medicaid-lien approach to Medicaid recovery. Consequently, claims for Medicaid recovery in Texas are debts of the estate.</w:t>
      </w:r>
    </w:p>
    <w:p w:rsidR="00F601A8" w:rsidRDefault="00F601A8">
      <w:pPr>
        <w:jc w:val="both"/>
        <w:rPr>
          <w:b/>
          <w:bCs/>
        </w:rPr>
      </w:pPr>
    </w:p>
    <w:p w:rsidR="00F601A8" w:rsidRDefault="00F601A8">
      <w:pPr>
        <w:jc w:val="both"/>
      </w:pPr>
      <w:r>
        <w:rPr>
          <w:b/>
          <w:bCs/>
        </w:rPr>
        <w:t xml:space="preserve">It is imperative that attorneys consult with their clients about whether the deceased received Medicaid benefits. If the deceased applied for Medicaid benefits after March 1, 2005 and received any Medicaid benefits, attorneys need to thoroughly investigate whether the Medicaid Estate Recovery Program has any claim against the estate. If so, the </w:t>
      </w:r>
      <w:proofErr w:type="gramStart"/>
      <w:r>
        <w:rPr>
          <w:b/>
          <w:bCs/>
        </w:rPr>
        <w:t>decedent’s</w:t>
      </w:r>
      <w:proofErr w:type="gramEnd"/>
      <w:r>
        <w:rPr>
          <w:b/>
          <w:bCs/>
        </w:rPr>
        <w:t xml:space="preserve"> will cannot be probated as a </w:t>
      </w:r>
      <w:proofErr w:type="spellStart"/>
      <w:r>
        <w:rPr>
          <w:b/>
          <w:bCs/>
        </w:rPr>
        <w:t>muniment</w:t>
      </w:r>
      <w:proofErr w:type="spellEnd"/>
      <w:r>
        <w:rPr>
          <w:b/>
          <w:bCs/>
        </w:rPr>
        <w:t xml:space="preserve"> of title until that debt is paid.</w:t>
      </w:r>
    </w:p>
    <w:p w:rsidR="00F601A8" w:rsidRDefault="00F601A8">
      <w:pPr>
        <w:jc w:val="both"/>
      </w:pPr>
    </w:p>
    <w:p w:rsidR="00F601A8" w:rsidRDefault="00F601A8">
      <w:pPr>
        <w:jc w:val="both"/>
      </w:pPr>
      <w:r>
        <w:t>The Texas Department of Aging and Disability Services (DADS) is the state agency in charge of the Medicaid Estate Recovery Program (MERP). Information regarding the Medicaid Estate Recovery Program is available at www.dads.state.tx.us/services/estate_recovery/index.html. The Department’s general web address is www.dads.state.tx.us/.</w:t>
      </w:r>
    </w:p>
    <w:p w:rsidR="00F601A8" w:rsidRDefault="00F601A8">
      <w:pPr>
        <w:jc w:val="both"/>
      </w:pPr>
    </w:p>
    <w:p w:rsidR="00F601A8" w:rsidRDefault="00F601A8">
      <w:pPr>
        <w:jc w:val="both"/>
      </w:pPr>
      <w:r>
        <w:t>The Court also has a limited number of brochures related to the Medicaid Estate Recovery Program available in our Court Coordinator’s office.</w:t>
      </w:r>
    </w:p>
    <w:p w:rsidR="00F601A8" w:rsidRDefault="00F601A8">
      <w:pPr>
        <w:jc w:val="both"/>
      </w:pPr>
    </w:p>
    <w:p w:rsidR="00F601A8" w:rsidRDefault="00F601A8">
      <w:pPr>
        <w:ind w:firstLine="7920"/>
        <w:jc w:val="both"/>
      </w:pPr>
    </w:p>
    <w:p w:rsidR="00F601A8" w:rsidRDefault="00F601A8">
      <w:pPr>
        <w:jc w:val="both"/>
      </w:pPr>
    </w:p>
    <w:p w:rsidR="00F601A8" w:rsidRDefault="00F601A8">
      <w:pPr>
        <w:ind w:firstLine="4320"/>
        <w:jc w:val="both"/>
      </w:pPr>
      <w:r>
        <w:t>__________________________________________</w:t>
      </w:r>
    </w:p>
    <w:p w:rsidR="00F601A8" w:rsidRDefault="00935D70">
      <w:pPr>
        <w:ind w:firstLine="4320"/>
        <w:jc w:val="both"/>
      </w:pPr>
      <w:r>
        <w:rPr>
          <w:b/>
          <w:bCs/>
        </w:rPr>
        <w:t>Win Graham</w:t>
      </w:r>
      <w:r w:rsidR="00F601A8">
        <w:t>, Presiding Judge</w:t>
      </w:r>
    </w:p>
    <w:p w:rsidR="00F601A8" w:rsidRDefault="00F601A8">
      <w:pPr>
        <w:ind w:firstLine="4320"/>
        <w:jc w:val="both"/>
      </w:pPr>
      <w:r>
        <w:t>Young County Constitutional County Court</w:t>
      </w:r>
    </w:p>
    <w:p w:rsidR="00F601A8" w:rsidRDefault="00F601A8">
      <w:pPr>
        <w:ind w:firstLine="4320"/>
        <w:jc w:val="both"/>
        <w:rPr>
          <w:sz w:val="14"/>
          <w:szCs w:val="14"/>
        </w:rPr>
      </w:pPr>
      <w:r>
        <w:t>Young County, Texas</w:t>
      </w:r>
    </w:p>
    <w:sectPr w:rsidR="00F601A8" w:rsidSect="00F601A8">
      <w:pgSz w:w="12240" w:h="15840"/>
      <w:pgMar w:top="1440" w:right="1440" w:bottom="270" w:left="1440" w:header="1440" w:footer="2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A8"/>
    <w:rsid w:val="0038609D"/>
    <w:rsid w:val="00935D70"/>
    <w:rsid w:val="00F6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33F4FC-9638-4775-A082-F95A78B9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3</cp:revision>
  <dcterms:created xsi:type="dcterms:W3CDTF">2023-01-06T14:49:00Z</dcterms:created>
  <dcterms:modified xsi:type="dcterms:W3CDTF">2023-01-06T14:49:00Z</dcterms:modified>
</cp:coreProperties>
</file>